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8E9" w:rsidRPr="005208E9" w:rsidRDefault="005208E9" w:rsidP="005208E9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ZAKON</w:t>
      </w:r>
    </w:p>
    <w:p w:rsidR="005208E9" w:rsidRPr="005208E9" w:rsidRDefault="005208E9" w:rsidP="005208E9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Pr="005208E9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MEĐUBANKARSKIM</w:t>
      </w:r>
      <w:r w:rsidRPr="005208E9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NAKNADAMA</w:t>
      </w:r>
      <w:r w:rsidRPr="005208E9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KOD</w:t>
      </w:r>
      <w:r w:rsidRPr="005208E9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PLATNIH</w:t>
      </w:r>
      <w:r w:rsidRPr="005208E9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TRANSAKCIJA</w:t>
      </w:r>
      <w:r w:rsidRPr="005208E9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NA</w:t>
      </w:r>
      <w:r w:rsidRPr="005208E9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OSNOVU</w:t>
      </w:r>
      <w:r w:rsidRPr="005208E9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PLATNIH</w:t>
      </w:r>
      <w:r w:rsidRPr="005208E9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KARTICA</w:t>
      </w:r>
    </w:p>
    <w:p w:rsidR="005208E9" w:rsidRPr="005208E9" w:rsidRDefault="005208E9" w:rsidP="005208E9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208E9" w:rsidRPr="005208E9" w:rsidRDefault="005208E9" w:rsidP="005208E9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Predmet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Zakona</w:t>
      </w: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1.</w:t>
      </w: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Ovim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uređuju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međubankarske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naplaćuju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izvršavanju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Republici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Srpskoj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pružalac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platioca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pružalac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ovlašćene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organizacije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obavljanje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poslova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prometa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smislu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uređuje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unutrašnji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promet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poslovanja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vezi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izdavanjem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prihvatanjem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instrumenata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zasnovanih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karticama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Primjena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2.</w:t>
      </w:r>
    </w:p>
    <w:p w:rsidR="005208E9" w:rsidRPr="005208E9" w:rsidRDefault="005208E9" w:rsidP="005208E9">
      <w:pPr>
        <w:pStyle w:val="Default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(1) </w:t>
      </w:r>
      <w:r>
        <w:rPr>
          <w:rFonts w:ascii="Times New Roman" w:hAnsi="Times New Roman" w:cs="Times New Roman"/>
          <w:noProof/>
          <w:color w:val="auto"/>
          <w:lang w:val="sr-Latn-CS"/>
        </w:rPr>
        <w:t>Odredbe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primjenjuju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pružalaca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obuhvaćeno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pružalac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dozvolu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organa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obavljanje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poslova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prometa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Federaciji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Bosne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Hercegovine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Brčko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Distriktu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Bosne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Hercegovine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(2) </w:t>
      </w:r>
      <w:r>
        <w:rPr>
          <w:rFonts w:ascii="Times New Roman" w:hAnsi="Times New Roman" w:cs="Times New Roman"/>
          <w:noProof/>
          <w:color w:val="auto"/>
          <w:lang w:val="sr-Latn-CS"/>
        </w:rPr>
        <w:t>Odredbe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primjenjuju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izvršavaju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instrumenata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koristiti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samo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ograničeno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ispunjavaju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najmanje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sljedećih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1) </w:t>
      </w:r>
      <w:r>
        <w:rPr>
          <w:rFonts w:ascii="Times New Roman" w:hAnsi="Times New Roman" w:cs="Times New Roman"/>
          <w:noProof/>
          <w:color w:val="auto"/>
          <w:lang w:val="sr-Latn-CS"/>
        </w:rPr>
        <w:t>omogućavaju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njihovom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imaocu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pribavljanje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robe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isključivo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prostorijama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subjekta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ograničene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mreže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prodavaca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robe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ugovorom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neposredno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zaključen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subjektom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bavi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izdavanjem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instrumenata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pribavljanje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vrlo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ograničenog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izbora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robe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2) </w:t>
      </w:r>
      <w:r>
        <w:rPr>
          <w:rFonts w:ascii="Times New Roman" w:hAnsi="Times New Roman" w:cs="Times New Roman"/>
          <w:noProof/>
          <w:color w:val="auto"/>
          <w:lang w:val="sr-Latn-CS"/>
        </w:rPr>
        <w:t>izdaju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zahtjev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preduzetnika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subjekta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javnog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sektora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sticanja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dobara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dobavljača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robe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pružalaca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tome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zaključili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ugovor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izdavaocem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instrumenata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uređeni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aktom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organa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javnog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sektora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ostvarili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socijalni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fiskalni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ciljevi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rPr>
          <w:rFonts w:ascii="Times New Roman" w:hAnsi="Times New Roman" w:cs="Times New Roman"/>
          <w:b/>
          <w:bCs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Značenje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pojedinih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pojmova</w:t>
      </w: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3.</w:t>
      </w: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(1) </w:t>
      </w:r>
      <w:r>
        <w:rPr>
          <w:rFonts w:ascii="Times New Roman" w:hAnsi="Times New Roman" w:cs="Times New Roman"/>
          <w:noProof/>
          <w:color w:val="auto"/>
          <w:lang w:val="sr-Latn-CS"/>
        </w:rPr>
        <w:t>Pojedini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pojmovi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sljedeće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značenje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1) </w:t>
      </w:r>
      <w:r>
        <w:rPr>
          <w:rFonts w:ascii="Times New Roman" w:hAnsi="Times New Roman" w:cs="Times New Roman"/>
          <w:noProof/>
          <w:color w:val="auto"/>
          <w:lang w:val="sr-Latn-CS"/>
        </w:rPr>
        <w:t>neto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ukupan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iznos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novčanih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sredstava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popusta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olakšica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vrsta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podsticaja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izdavalac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prihvatioca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bilo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posrednika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vezi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transakcijama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povezanim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aktivnostima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umanjen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iznos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novčanih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sredstava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popusta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olakšica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vrsta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podsticaja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izdavalac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vezi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transakcijama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aktivnostima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2) </w:t>
      </w:r>
      <w:r>
        <w:rPr>
          <w:rFonts w:ascii="Times New Roman" w:hAnsi="Times New Roman" w:cs="Times New Roman"/>
          <w:noProof/>
          <w:color w:val="auto"/>
          <w:lang w:val="sr-Latn-CS"/>
        </w:rPr>
        <w:t>trgovačka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prihvatiocu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trgovac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vezi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lastRenderedPageBreak/>
        <w:t xml:space="preserve">3) </w:t>
      </w:r>
      <w:r>
        <w:rPr>
          <w:rFonts w:ascii="Times New Roman" w:hAnsi="Times New Roman" w:cs="Times New Roman"/>
          <w:noProof/>
          <w:color w:val="auto"/>
          <w:lang w:val="sr-Latn-CS"/>
        </w:rPr>
        <w:t>pružaoci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banke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ovlašćene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organizacije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obavljanje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poslova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prometa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uređuju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unutrašnji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promet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4) </w:t>
      </w:r>
      <w:r>
        <w:rPr>
          <w:rFonts w:ascii="Times New Roman" w:hAnsi="Times New Roman" w:cs="Times New Roman"/>
          <w:noProof/>
          <w:color w:val="auto"/>
          <w:lang w:val="sr-Latn-CS"/>
        </w:rPr>
        <w:t>prihvatilac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pružalac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ugovorom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zaključenim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primaocem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obavezao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pruža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prihvatanja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izvršavanja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novčanih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sredstava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primaocu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5) </w:t>
      </w:r>
      <w:r>
        <w:rPr>
          <w:rFonts w:ascii="Times New Roman" w:hAnsi="Times New Roman" w:cs="Times New Roman"/>
          <w:noProof/>
          <w:color w:val="auto"/>
          <w:lang w:val="sr-Latn-CS"/>
        </w:rPr>
        <w:t>izdavalac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pružalac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ugovorom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zaključenim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platiocem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obavezao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pruža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izdavanja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iniciranje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izvršavanja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6) </w:t>
      </w:r>
      <w:r>
        <w:rPr>
          <w:rFonts w:ascii="Times New Roman" w:hAnsi="Times New Roman" w:cs="Times New Roman"/>
          <w:noProof/>
          <w:color w:val="auto"/>
          <w:lang w:val="sr-Latn-CS"/>
        </w:rPr>
        <w:t>potrošač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fizičko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korisnik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zaključuje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ugovore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svrhe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nisu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namijenjene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njegovoj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poslovnoj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komercijalnoj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djelatnosti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7) </w:t>
      </w:r>
      <w:r>
        <w:rPr>
          <w:rFonts w:ascii="Times New Roman" w:hAnsi="Times New Roman" w:cs="Times New Roman"/>
          <w:noProof/>
          <w:color w:val="auto"/>
          <w:lang w:val="sr-Latn-CS"/>
        </w:rPr>
        <w:t>korisnik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učesnik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prometu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fizičko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koristi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koristilo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svojstvu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platioca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pružaocu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obratilo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8) </w:t>
      </w:r>
      <w:r>
        <w:rPr>
          <w:rFonts w:ascii="Times New Roman" w:hAnsi="Times New Roman" w:cs="Times New Roman"/>
          <w:noProof/>
          <w:color w:val="auto"/>
          <w:lang w:val="sr-Latn-CS"/>
        </w:rPr>
        <w:t>platilac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dužnik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fizičko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račun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saglasnost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teret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računa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nalog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računa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platilac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fizičko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nalog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9) </w:t>
      </w:r>
      <w:r>
        <w:rPr>
          <w:rFonts w:ascii="Times New Roman" w:hAnsi="Times New Roman" w:cs="Times New Roman"/>
          <w:noProof/>
          <w:color w:val="auto"/>
          <w:lang w:val="sr-Latn-CS"/>
        </w:rPr>
        <w:t>primalac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povjerilac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trgovac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fizičko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novčanih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sredstava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10) </w:t>
      </w:r>
      <w:r>
        <w:rPr>
          <w:rFonts w:ascii="Times New Roman" w:hAnsi="Times New Roman" w:cs="Times New Roman"/>
          <w:noProof/>
          <w:color w:val="auto"/>
          <w:lang w:val="sr-Latn-CS"/>
        </w:rPr>
        <w:t>platna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novčanih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sredstava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inicira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platilac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njegovo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bez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obzira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između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platioca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11) </w:t>
      </w:r>
      <w:r>
        <w:rPr>
          <w:rFonts w:ascii="Times New Roman" w:hAnsi="Times New Roman" w:cs="Times New Roman"/>
          <w:noProof/>
          <w:color w:val="auto"/>
          <w:lang w:val="sr-Latn-CS"/>
        </w:rPr>
        <w:t>platna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jeste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inicira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upotrebe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putem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telekomunikacionog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digitalnog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informaciono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-</w:t>
      </w:r>
      <w:r>
        <w:rPr>
          <w:rFonts w:ascii="Times New Roman" w:hAnsi="Times New Roman" w:cs="Times New Roman"/>
          <w:noProof/>
          <w:color w:val="auto"/>
          <w:lang w:val="sr-Latn-CS"/>
        </w:rPr>
        <w:t>tehnološkog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uređaja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softvera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poslovnim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korišćenjem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infrastrukture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smatra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kredit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engl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Credit) </w:t>
      </w:r>
      <w:r>
        <w:rPr>
          <w:rFonts w:ascii="Times New Roman" w:hAnsi="Times New Roman" w:cs="Times New Roman"/>
          <w:noProof/>
          <w:color w:val="auto"/>
          <w:lang w:val="sr-Latn-CS"/>
        </w:rPr>
        <w:t>transferom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debit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engl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Debit) </w:t>
      </w:r>
      <w:r>
        <w:rPr>
          <w:rFonts w:ascii="Times New Roman" w:hAnsi="Times New Roman" w:cs="Times New Roman"/>
          <w:noProof/>
          <w:color w:val="auto"/>
          <w:lang w:val="sr-Latn-CS"/>
        </w:rPr>
        <w:t>transferom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smislu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uređuju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12) </w:t>
      </w:r>
      <w:r>
        <w:rPr>
          <w:rFonts w:ascii="Times New Roman" w:hAnsi="Times New Roman" w:cs="Times New Roman"/>
          <w:noProof/>
          <w:color w:val="auto"/>
          <w:lang w:val="sr-Latn-CS"/>
        </w:rPr>
        <w:t>platna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vrsta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koristi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iniciranje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13) </w:t>
      </w:r>
      <w:r>
        <w:rPr>
          <w:rFonts w:ascii="Times New Roman" w:hAnsi="Times New Roman" w:cs="Times New Roman"/>
          <w:noProof/>
          <w:color w:val="auto"/>
          <w:lang w:val="sr-Latn-CS"/>
        </w:rPr>
        <w:t>kreditna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koristi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iniciranje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kreditnom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14)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kreditnom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platilac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zadužuje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iznos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cijelosti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djelimično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unaprijed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utvrđeni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kalendarski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utvrđenim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ugovorom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izdavanju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kreditne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bez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obzira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obračunava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kamata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15) </w:t>
      </w:r>
      <w:r>
        <w:rPr>
          <w:rFonts w:ascii="Times New Roman" w:hAnsi="Times New Roman" w:cs="Times New Roman"/>
          <w:noProof/>
          <w:color w:val="auto"/>
          <w:lang w:val="sr-Latn-CS"/>
        </w:rPr>
        <w:t>debitna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vrsta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koristi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iniciranje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debitnom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uključujući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unaprijed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uplaćenim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sredstvima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pripejd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svaku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kreditna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16)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debitnom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kreditnom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strike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17) </w:t>
      </w:r>
      <w:r>
        <w:rPr>
          <w:rFonts w:ascii="Times New Roman" w:hAnsi="Times New Roman" w:cs="Times New Roman"/>
          <w:noProof/>
          <w:color w:val="auto"/>
          <w:lang w:val="sr-Latn-CS"/>
        </w:rPr>
        <w:t>kartica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unaprijed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uplaćenim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sredstvima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pripejd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vrsta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pohranjen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elektronski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:rsidR="005208E9" w:rsidRPr="005208E9" w:rsidRDefault="005208E9" w:rsidP="005208E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18)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kartica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kartica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izdata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poslovnim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subjektima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ograničena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poslovne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svrhe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njenom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upotrebom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naplaćuju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ovih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lastRenderedPageBreak/>
        <w:t xml:space="preserve">19) </w:t>
      </w:r>
      <w:r>
        <w:rPr>
          <w:rFonts w:ascii="Times New Roman" w:hAnsi="Times New Roman" w:cs="Times New Roman"/>
          <w:noProof/>
          <w:color w:val="auto"/>
          <w:lang w:val="sr-Latn-CS"/>
        </w:rPr>
        <w:t>platni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brend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svaki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materijalni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digitalni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naziv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izraz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oznaka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simbol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njihova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kombinacija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označava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20) </w:t>
      </w:r>
      <w:r>
        <w:rPr>
          <w:rFonts w:ascii="Times New Roman" w:hAnsi="Times New Roman" w:cs="Times New Roman"/>
          <w:noProof/>
          <w:color w:val="auto"/>
          <w:lang w:val="sr-Latn-CS"/>
        </w:rPr>
        <w:t>kobrendiranje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uključivanje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najmanje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brenda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najmanje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brenda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brend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zasnovanom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21) </w:t>
      </w:r>
      <w:r>
        <w:rPr>
          <w:rFonts w:ascii="Times New Roman" w:hAnsi="Times New Roman" w:cs="Times New Roman"/>
          <w:noProof/>
          <w:color w:val="auto"/>
          <w:lang w:val="sr-Latn-CS"/>
        </w:rPr>
        <w:t>platna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aplikacija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računarski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softver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ekvivalent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učitan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računaru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mobilnom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telefonu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bilo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uređaju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omogućava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inicira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platilac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nalog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22)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označava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jedinstven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skup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praksi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standarda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operativnih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smjernica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izvršavanje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obuhvata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tijelo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organizaciju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subjekta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donose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odluke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poslovanju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odgovorni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poslovanje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23) </w:t>
      </w:r>
      <w:r>
        <w:rPr>
          <w:rFonts w:ascii="Times New Roman" w:hAnsi="Times New Roman" w:cs="Times New Roman"/>
          <w:noProof/>
          <w:color w:val="auto"/>
          <w:lang w:val="sr-Latn-CS"/>
        </w:rPr>
        <w:t>četvorostrani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izvršavaju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računa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platioca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račun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uz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posredovanje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izdavaoca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strani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platioca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prihvatioca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strani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24) </w:t>
      </w:r>
      <w:r>
        <w:rPr>
          <w:rFonts w:ascii="Times New Roman" w:hAnsi="Times New Roman" w:cs="Times New Roman"/>
          <w:noProof/>
          <w:color w:val="auto"/>
          <w:lang w:val="sr-Latn-CS"/>
        </w:rPr>
        <w:t>trostrani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jeste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neposredno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pruža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prihvatanja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izdavanja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izvršavaju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čemu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trostrani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pružaocu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â </w:t>
      </w:r>
      <w:r>
        <w:rPr>
          <w:rFonts w:ascii="Times New Roman" w:hAnsi="Times New Roman" w:cs="Times New Roman"/>
          <w:noProof/>
          <w:color w:val="auto"/>
          <w:lang w:val="sr-Latn-CS"/>
        </w:rPr>
        <w:t>ovlašćenje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zasnovane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prihvata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instrumenata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partnerom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sporazuma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kobrendiranju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zastupnika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− </w:t>
      </w:r>
      <w:r>
        <w:rPr>
          <w:rFonts w:ascii="Times New Roman" w:hAnsi="Times New Roman" w:cs="Times New Roman"/>
          <w:noProof/>
          <w:color w:val="auto"/>
          <w:lang w:val="sr-Latn-CS"/>
        </w:rPr>
        <w:t>smatra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četvorostranim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25) </w:t>
      </w:r>
      <w:r>
        <w:rPr>
          <w:rFonts w:ascii="Times New Roman" w:hAnsi="Times New Roman" w:cs="Times New Roman"/>
          <w:noProof/>
          <w:color w:val="auto"/>
          <w:lang w:val="sr-Latn-CS"/>
        </w:rPr>
        <w:t>procesor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pruža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obrade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naloga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između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prihvatioca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izdavaoca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strike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26) </w:t>
      </w:r>
      <w:r>
        <w:rPr>
          <w:rFonts w:ascii="Times New Roman" w:hAnsi="Times New Roman" w:cs="Times New Roman"/>
          <w:noProof/>
          <w:color w:val="auto"/>
          <w:lang w:val="sr-Latn-CS"/>
        </w:rPr>
        <w:t>platni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zasnovan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svaki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uključujući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računar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mobilni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telefon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bilo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sredstvo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sadrži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aplikaciju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omogućava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platiocu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inicira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(2) </w:t>
      </w:r>
      <w:r>
        <w:rPr>
          <w:rFonts w:ascii="Times New Roman" w:hAnsi="Times New Roman" w:cs="Times New Roman"/>
          <w:noProof/>
          <w:color w:val="auto"/>
          <w:lang w:val="sr-Latn-CS"/>
        </w:rPr>
        <w:t>Pojedini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pojmovi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definisani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uređuju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unutrašnji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promet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značenje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ako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drugačije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Primjena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drugih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zakona</w:t>
      </w: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4.</w:t>
      </w: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pitanja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koja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nisu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uređena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ovim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zakonom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primjenjuju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odredbe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zakona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kojima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uređuju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unutrašnji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platni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promet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Međubankarska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naknada</w:t>
      </w: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5.</w:t>
      </w: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(1) </w:t>
      </w:r>
      <w:r>
        <w:rPr>
          <w:rFonts w:ascii="Times New Roman" w:hAnsi="Times New Roman" w:cs="Times New Roman"/>
          <w:noProof/>
          <w:color w:val="auto"/>
          <w:lang w:val="sr-Latn-CS"/>
        </w:rPr>
        <w:t>Međubankarska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označava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uključujući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neto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bilo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ugovoreni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iznos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novčanih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sredstava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neposredno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posredno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npr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preko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trećih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plaća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između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izdavaoca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prihvatioca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učestvuju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izvršenju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lastRenderedPageBreak/>
        <w:t xml:space="preserve">(2) </w:t>
      </w:r>
      <w:r>
        <w:rPr>
          <w:rFonts w:ascii="Times New Roman" w:hAnsi="Times New Roman" w:cs="Times New Roman"/>
          <w:noProof/>
          <w:color w:val="auto"/>
          <w:lang w:val="sr-Latn-CS"/>
        </w:rPr>
        <w:t>Međubankarska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debitnom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viša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0,2% </w:t>
      </w:r>
      <w:r>
        <w:rPr>
          <w:rFonts w:ascii="Times New Roman" w:hAnsi="Times New Roman" w:cs="Times New Roman"/>
          <w:noProof/>
          <w:color w:val="auto"/>
          <w:lang w:val="sr-Latn-CS"/>
        </w:rPr>
        <w:t>vrijednosti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izvršene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(3) </w:t>
      </w:r>
      <w:r>
        <w:rPr>
          <w:rFonts w:ascii="Times New Roman" w:hAnsi="Times New Roman" w:cs="Times New Roman"/>
          <w:noProof/>
          <w:color w:val="auto"/>
          <w:lang w:val="sr-Latn-CS"/>
        </w:rPr>
        <w:t>Međubankarska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kreditnom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viša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0,3% </w:t>
      </w:r>
      <w:r>
        <w:rPr>
          <w:rFonts w:ascii="Times New Roman" w:hAnsi="Times New Roman" w:cs="Times New Roman"/>
          <w:noProof/>
          <w:color w:val="auto"/>
          <w:lang w:val="sr-Latn-CS"/>
        </w:rPr>
        <w:t>vrijednosti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izvršene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(4) </w:t>
      </w:r>
      <w:r>
        <w:rPr>
          <w:rFonts w:ascii="Times New Roman" w:hAnsi="Times New Roman" w:cs="Times New Roman"/>
          <w:noProof/>
          <w:color w:val="auto"/>
          <w:lang w:val="sr-Latn-CS"/>
        </w:rPr>
        <w:t>Pružalac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naplatiti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ponuditi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međubankarsku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suprotno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2.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(5) </w:t>
      </w:r>
      <w:r>
        <w:rPr>
          <w:rFonts w:ascii="Times New Roman" w:hAnsi="Times New Roman" w:cs="Times New Roman"/>
          <w:noProof/>
          <w:color w:val="auto"/>
          <w:lang w:val="sr-Latn-CS"/>
        </w:rPr>
        <w:t>Radi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primjene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ograničenja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2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svaki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ugovoreni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iznos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novčanih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sredstava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uključujući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neto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efekat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međubankarska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izdavalac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prihvatioca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bilo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posrednika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vezi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transakcijama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povezanih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aktivnosti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smatra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dijelom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međubankarske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5208E9" w:rsidRPr="005208E9" w:rsidRDefault="005208E9" w:rsidP="005208E9">
      <w:pPr>
        <w:pStyle w:val="Default"/>
        <w:ind w:firstLine="709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(6) </w:t>
      </w:r>
      <w:r>
        <w:rPr>
          <w:rFonts w:ascii="Times New Roman" w:hAnsi="Times New Roman" w:cs="Times New Roman"/>
          <w:noProof/>
          <w:color w:val="auto"/>
          <w:lang w:val="sr-Latn-CS"/>
        </w:rPr>
        <w:t>Odredbe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primjenjuju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</w:p>
    <w:p w:rsidR="005208E9" w:rsidRPr="005208E9" w:rsidRDefault="005208E9" w:rsidP="005208E9">
      <w:pPr>
        <w:pStyle w:val="Default"/>
        <w:ind w:firstLine="709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1)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isplatu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gotovog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bankomatima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šalterima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pružalaca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prodajnim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mjestima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primalaca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</w:p>
    <w:p w:rsidR="005208E9" w:rsidRPr="005208E9" w:rsidRDefault="005208E9" w:rsidP="005208E9">
      <w:pPr>
        <w:pStyle w:val="Default"/>
        <w:ind w:firstLine="709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2)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poslovnih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</w:p>
    <w:p w:rsidR="005208E9" w:rsidRPr="005208E9" w:rsidRDefault="005208E9" w:rsidP="005208E9">
      <w:pPr>
        <w:pStyle w:val="Default"/>
        <w:ind w:firstLine="709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3)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trostrani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(7) </w:t>
      </w:r>
      <w:r>
        <w:rPr>
          <w:rFonts w:ascii="Times New Roman" w:hAnsi="Times New Roman" w:cs="Times New Roman"/>
          <w:noProof/>
          <w:color w:val="auto"/>
          <w:lang w:val="sr-Latn-CS"/>
        </w:rPr>
        <w:t>Naknade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aktivnosti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obrade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prenosa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naloga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između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prihvatioca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izdavaoca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usluge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procesora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obavezno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iskazuju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pojedinačno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(8) </w:t>
      </w:r>
      <w:r>
        <w:rPr>
          <w:rFonts w:ascii="Times New Roman" w:hAnsi="Times New Roman" w:cs="Times New Roman"/>
          <w:noProof/>
          <w:color w:val="auto"/>
          <w:lang w:val="sr-Latn-CS"/>
        </w:rPr>
        <w:t>Pružaoci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Agenciji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bankarstvo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Srpske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daljem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tekstu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lang w:val="sr-Latn-CS"/>
        </w:rPr>
        <w:t>Agencija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dostavljaju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podatke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naknadama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(9) </w:t>
      </w:r>
      <w:r>
        <w:rPr>
          <w:rFonts w:ascii="Times New Roman" w:hAnsi="Times New Roman" w:cs="Times New Roman"/>
          <w:noProof/>
          <w:color w:val="auto"/>
          <w:lang w:val="sr-Latn-CS"/>
        </w:rPr>
        <w:t>Agencija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donosi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propisuje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sadržinu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rokove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način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dostavljanja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podataka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pružaoci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dostavljaju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Izbor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platnog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brenda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aplikacije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6.</w:t>
      </w:r>
    </w:p>
    <w:p w:rsidR="005208E9" w:rsidRPr="005208E9" w:rsidRDefault="005208E9" w:rsidP="005208E9">
      <w:pPr>
        <w:pStyle w:val="Default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(1) </w:t>
      </w:r>
      <w:r>
        <w:rPr>
          <w:rFonts w:ascii="Times New Roman" w:hAnsi="Times New Roman" w:cs="Times New Roman"/>
          <w:noProof/>
          <w:color w:val="auto"/>
          <w:lang w:val="sr-Latn-CS"/>
        </w:rPr>
        <w:t>Izdavalac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uključi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više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različitih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brendova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aplikacija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(2) </w:t>
      </w:r>
      <w:r>
        <w:rPr>
          <w:rFonts w:ascii="Times New Roman" w:hAnsi="Times New Roman" w:cs="Times New Roman"/>
          <w:noProof/>
          <w:color w:val="auto"/>
          <w:lang w:val="sr-Latn-CS"/>
        </w:rPr>
        <w:t>Pravilima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sličnim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mjerama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spriječiti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ograničiti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izdavalac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postupi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(3) </w:t>
      </w:r>
      <w:r>
        <w:rPr>
          <w:rFonts w:ascii="Times New Roman" w:hAnsi="Times New Roman" w:cs="Times New Roman"/>
          <w:noProof/>
          <w:color w:val="auto"/>
          <w:lang w:val="sr-Latn-CS"/>
        </w:rPr>
        <w:t>Prilikom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zaključivanja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ugovora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usluzi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potrošač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zasnovan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više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brendova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ako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pružalac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nudi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takvu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(4) </w:t>
      </w:r>
      <w:r>
        <w:rPr>
          <w:rFonts w:ascii="Times New Roman" w:hAnsi="Times New Roman" w:cs="Times New Roman"/>
          <w:noProof/>
          <w:color w:val="auto"/>
          <w:lang w:val="sr-Latn-CS"/>
        </w:rPr>
        <w:t>Pružalac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primjerenom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roku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zaključenja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ugovora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usluzi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potrošaču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dostavi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jasne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objektivne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informacije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brendovima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povezana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njihovim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karakteristikama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uključujući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njihove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mogućnosti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primjenljivost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troškove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mjere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(5) </w:t>
      </w:r>
      <w:r>
        <w:rPr>
          <w:rFonts w:ascii="Times New Roman" w:hAnsi="Times New Roman" w:cs="Times New Roman"/>
          <w:noProof/>
          <w:color w:val="auto"/>
          <w:lang w:val="sr-Latn-CS"/>
        </w:rPr>
        <w:t>Sve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razlike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tretmanu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izdavalaca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prihvatilaca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sadržane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pravilima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odredbama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ugovora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davanju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odobrenja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pristupanje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posljedica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uključivanja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više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različitih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brendova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više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aplikacija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brenda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zasnovanom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zasnivaju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objektivnim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razlozima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nediskriminaciji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(6) </w:t>
      </w:r>
      <w:r>
        <w:rPr>
          <w:rFonts w:ascii="Times New Roman" w:hAnsi="Times New Roman" w:cs="Times New Roman"/>
          <w:noProof/>
          <w:color w:val="auto"/>
          <w:lang w:val="sr-Latn-CS"/>
        </w:rPr>
        <w:t>Posebno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tijelo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izdavaocu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prihvatiocu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nametnuti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obavezu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izvještavanja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obavezu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slične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obaveze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ciljem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efektom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izvršavaju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korišćenjem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izvršavaju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upotrebom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uređaja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prisutan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brend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lastRenderedPageBreak/>
        <w:t xml:space="preserve">(7) </w:t>
      </w:r>
      <w:r>
        <w:rPr>
          <w:rFonts w:ascii="Times New Roman" w:hAnsi="Times New Roman" w:cs="Times New Roman"/>
          <w:noProof/>
          <w:color w:val="auto"/>
          <w:lang w:val="sr-Latn-CS"/>
        </w:rPr>
        <w:t>Načela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usmjeravanja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ekvivalentne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mjere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namijenjene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usmjeravanju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kroz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specifičan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kanal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postupak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sigurnosni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standardi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zahtjevi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vezi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upotrebom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više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brendova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aplikacija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zasnovanom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obavezno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nediskriminatorni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primijenjeni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nediskriminatoran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način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(8)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izdavaoci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prihvatioci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procesori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pružaoci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zasnovanim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opremi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primjenjuje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mjestu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prodaje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uspostaviti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automatske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mehanizme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softver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uređaje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platiocu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trgovcu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ograničio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izbor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brenda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aplikacije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prilikom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upotrebe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zasnovanog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(9) </w:t>
      </w:r>
      <w:r>
        <w:rPr>
          <w:rFonts w:ascii="Times New Roman" w:hAnsi="Times New Roman" w:cs="Times New Roman"/>
          <w:noProof/>
          <w:color w:val="auto"/>
          <w:lang w:val="sr-Latn-CS"/>
        </w:rPr>
        <w:t>Primalac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opremi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koristi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mjestu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prodaje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upotrebljavati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automatski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mehanizam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vrši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izbor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brenda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aplikacije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dozvoljeno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ograniči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platioca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izabere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brend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aplikaciju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različiti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odabrani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automatskim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mehanizmom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prihvata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izabrani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brend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aplikaciju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Razdvajanje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naknada</w:t>
      </w: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7.</w:t>
      </w:r>
    </w:p>
    <w:p w:rsidR="005208E9" w:rsidRPr="005208E9" w:rsidRDefault="005208E9" w:rsidP="005208E9">
      <w:pPr>
        <w:pStyle w:val="Default"/>
        <w:rPr>
          <w:rFonts w:ascii="Times New Roman" w:hAnsi="Times New Roman" w:cs="Times New Roman"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(1) </w:t>
      </w:r>
      <w:r>
        <w:rPr>
          <w:rFonts w:ascii="Times New Roman" w:hAnsi="Times New Roman" w:cs="Times New Roman"/>
          <w:noProof/>
          <w:color w:val="auto"/>
          <w:lang w:val="sr-Latn-CS"/>
        </w:rPr>
        <w:t>Prihvatilac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primaocu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nudi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obračunava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pojedinačno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trgovačke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različite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vrste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različite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brendove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čiju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upotrebu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različite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međubankarske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različite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(2)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slučaju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prihvatilac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primaocu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obračunati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jedinstvenu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više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vrsta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brendova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prihvata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samo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zahtijevao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pisanoj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formi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nakon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prijema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ponude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(3)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ugovoru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usluzi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zaključuje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primaocem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prihvatilac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pojedinačno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prikaže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informacije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iznosu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trgovačka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međubankarska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brendove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vrste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osim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nakon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prijema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ponude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zahtijevao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pisanoj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formi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drugačije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postupanje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prihvatioca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rPr>
          <w:rFonts w:ascii="Times New Roman" w:hAnsi="Times New Roman" w:cs="Times New Roman"/>
          <w:b/>
          <w:bCs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Pravilo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prihvatanju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svih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kartica</w:t>
      </w: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8.</w:t>
      </w:r>
    </w:p>
    <w:p w:rsidR="005208E9" w:rsidRPr="005208E9" w:rsidRDefault="005208E9" w:rsidP="005208E9">
      <w:pPr>
        <w:pStyle w:val="Default"/>
        <w:rPr>
          <w:rFonts w:ascii="Times New Roman" w:hAnsi="Times New Roman" w:cs="Times New Roman"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(1) </w:t>
      </w:r>
      <w:r>
        <w:rPr>
          <w:rFonts w:ascii="Times New Roman" w:hAnsi="Times New Roman" w:cs="Times New Roman"/>
          <w:noProof/>
          <w:color w:val="auto"/>
          <w:lang w:val="sr-Latn-CS"/>
        </w:rPr>
        <w:t>Pružaoci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obavezati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primaoce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prihvataju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zasnovan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izdavaoca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prihvataju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zasnovane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karticama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samo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ispunjeni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sljedeći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1) </w:t>
      </w:r>
      <w:r>
        <w:rPr>
          <w:rFonts w:ascii="Times New Roman" w:hAnsi="Times New Roman" w:cs="Times New Roman"/>
          <w:noProof/>
          <w:color w:val="auto"/>
          <w:lang w:val="sr-Latn-CS"/>
        </w:rPr>
        <w:t>platni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zasnovani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brendu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vrsti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debitna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kreditna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2) </w:t>
      </w:r>
      <w:r>
        <w:rPr>
          <w:rFonts w:ascii="Times New Roman" w:hAnsi="Times New Roman" w:cs="Times New Roman"/>
          <w:noProof/>
          <w:color w:val="auto"/>
          <w:lang w:val="sr-Latn-CS"/>
        </w:rPr>
        <w:t>platni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zasnovani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karticama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potrošačima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3) </w:t>
      </w:r>
      <w:r>
        <w:rPr>
          <w:rFonts w:ascii="Times New Roman" w:hAnsi="Times New Roman" w:cs="Times New Roman"/>
          <w:noProof/>
          <w:color w:val="auto"/>
          <w:lang w:val="sr-Latn-CS"/>
        </w:rPr>
        <w:t>međubankarska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izvršavaju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primjenom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instrumenata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obračunava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naplaćuje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5.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(2) </w:t>
      </w:r>
      <w:r>
        <w:rPr>
          <w:rFonts w:ascii="Times New Roman" w:hAnsi="Times New Roman" w:cs="Times New Roman"/>
          <w:noProof/>
          <w:color w:val="auto"/>
          <w:lang w:val="sr-Latn-CS"/>
        </w:rPr>
        <w:t>Odredbe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dovode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pitanje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pružaoca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utvrde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odbijene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identiteta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izdavaoca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korisnika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(3) </w:t>
      </w:r>
      <w:r>
        <w:rPr>
          <w:rFonts w:ascii="Times New Roman" w:hAnsi="Times New Roman" w:cs="Times New Roman"/>
          <w:noProof/>
          <w:color w:val="auto"/>
          <w:lang w:val="sr-Latn-CS"/>
        </w:rPr>
        <w:t>Primalac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odluči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prihvati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zasnovane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karticama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dužan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tome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jasno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lastRenderedPageBreak/>
        <w:t>nedvosmisleno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obavijesti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potrošača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istovremeno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davanjem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obavještenja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zasnovanim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karticama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prihvata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(4) </w:t>
      </w:r>
      <w:r>
        <w:rPr>
          <w:rFonts w:ascii="Times New Roman" w:hAnsi="Times New Roman" w:cs="Times New Roman"/>
          <w:noProof/>
          <w:color w:val="auto"/>
          <w:lang w:val="sr-Latn-CS"/>
        </w:rPr>
        <w:t>Primalac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informacije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vidno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istakne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ulazu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prodajni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naplatnom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mjestu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(5)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slučaju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trgovine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korišćenjem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sredstava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komunikacije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daljinu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npr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elektronska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trgovina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auto"/>
          <w:lang w:val="sr-Latn-CS"/>
        </w:rPr>
        <w:t>primalac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informacije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objavi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svojoj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internet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stranici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odgovarajućem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elektronskom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mobilnom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mediju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čemu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informacije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obavezno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pružaju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platiocu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primjerenom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roku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nego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što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zaključi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ugovor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primaocem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(6) </w:t>
      </w:r>
      <w:r>
        <w:rPr>
          <w:rFonts w:ascii="Times New Roman" w:hAnsi="Times New Roman" w:cs="Times New Roman"/>
          <w:noProof/>
          <w:color w:val="auto"/>
          <w:lang w:val="sr-Latn-CS"/>
        </w:rPr>
        <w:t>Izdavalac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obezbijedi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zasnovan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bude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elektronski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vizuelno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prepoznatljiv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način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omogućava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primaocu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platiocu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nedvosmisleno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identifikuju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brend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vrstu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debitna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kreditna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poslovna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koju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platilac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izabrao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rPr>
          <w:rFonts w:ascii="Times New Roman" w:hAnsi="Times New Roman" w:cs="Times New Roman"/>
          <w:b/>
          <w:bCs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Nedozvoljeni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uticaj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primaoca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kod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upotrebe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instrumenata</w:t>
      </w: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9.</w:t>
      </w:r>
    </w:p>
    <w:p w:rsidR="005208E9" w:rsidRPr="005208E9" w:rsidRDefault="005208E9" w:rsidP="005208E9">
      <w:pPr>
        <w:pStyle w:val="Default"/>
        <w:rPr>
          <w:rFonts w:ascii="Times New Roman" w:hAnsi="Times New Roman" w:cs="Times New Roman"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(1) </w:t>
      </w:r>
      <w:r>
        <w:rPr>
          <w:rFonts w:ascii="Times New Roman" w:hAnsi="Times New Roman" w:cs="Times New Roman"/>
          <w:noProof/>
          <w:color w:val="auto"/>
          <w:lang w:val="sr-Latn-CS"/>
        </w:rPr>
        <w:t>Pravilima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ugovorom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između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prihvatioca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bilo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način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uključuje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uticaj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prihvatioca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primaocu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zabraniti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1) </w:t>
      </w:r>
      <w:r>
        <w:rPr>
          <w:rFonts w:ascii="Times New Roman" w:hAnsi="Times New Roman" w:cs="Times New Roman"/>
          <w:noProof/>
          <w:color w:val="auto"/>
          <w:lang w:val="sr-Latn-CS"/>
        </w:rPr>
        <w:t>usmjeri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potrošača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upotrebu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bilo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2) </w:t>
      </w:r>
      <w:r>
        <w:rPr>
          <w:rFonts w:ascii="Times New Roman" w:hAnsi="Times New Roman" w:cs="Times New Roman"/>
          <w:noProof/>
          <w:color w:val="auto"/>
          <w:lang w:val="sr-Latn-CS"/>
        </w:rPr>
        <w:t>daje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prednost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zasnovanim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karticama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3) </w:t>
      </w:r>
      <w:r>
        <w:rPr>
          <w:rFonts w:ascii="Times New Roman" w:hAnsi="Times New Roman" w:cs="Times New Roman"/>
          <w:noProof/>
          <w:color w:val="auto"/>
          <w:lang w:val="sr-Latn-CS"/>
        </w:rPr>
        <w:t>obavijesti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platioca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međubankarskim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naknadama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naknadama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trgovačkim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naknadama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(2) </w:t>
      </w:r>
      <w:r>
        <w:rPr>
          <w:rFonts w:ascii="Times New Roman" w:hAnsi="Times New Roman" w:cs="Times New Roman"/>
          <w:noProof/>
          <w:color w:val="auto"/>
          <w:lang w:val="sr-Latn-CS"/>
        </w:rPr>
        <w:t>Stavom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dovode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pitanje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odredbe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naknadama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popustima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mehanizmima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usmjeravanja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utvrđene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uređen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promet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potrošača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5208E9" w:rsidRPr="005208E9" w:rsidRDefault="005208E9" w:rsidP="005208E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zaključivanje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prihvatanju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izvršavanju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platnih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transakcija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platne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kartice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primaocem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pružanjem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povratom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gotovine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208E9" w:rsidRPr="005208E9" w:rsidRDefault="005208E9" w:rsidP="005208E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Primalac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prihvatioca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pružanja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povratom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gotovine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zaključenim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prihvatanju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izvršavanju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platnih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transakcija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platne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kartice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bankom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obligacioni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(5) </w:t>
      </w:r>
      <w:r>
        <w:rPr>
          <w:rFonts w:ascii="Times New Roman" w:hAnsi="Times New Roman" w:cs="Times New Roman"/>
          <w:noProof/>
          <w:color w:val="auto"/>
          <w:lang w:val="sr-Latn-CS"/>
        </w:rPr>
        <w:t>Prihvatilac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primaoc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a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informiše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visini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prihvatilac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naplaćuje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izdavaoca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povratom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gotovine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5208E9" w:rsidRPr="005208E9" w:rsidRDefault="005208E9" w:rsidP="005208E9">
      <w:pPr>
        <w:pStyle w:val="Default"/>
        <w:rPr>
          <w:rFonts w:ascii="Times New Roman" w:hAnsi="Times New Roman" w:cs="Times New Roman"/>
          <w:b/>
          <w:bCs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Informacije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primaoca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pojedinačnim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platnim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transakcijama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kartica</w:t>
      </w: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10.</w:t>
      </w:r>
    </w:p>
    <w:p w:rsidR="005208E9" w:rsidRPr="005208E9" w:rsidRDefault="005208E9" w:rsidP="005208E9">
      <w:pPr>
        <w:pStyle w:val="Default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(1) </w:t>
      </w:r>
      <w:r>
        <w:rPr>
          <w:rFonts w:ascii="Times New Roman" w:hAnsi="Times New Roman" w:cs="Times New Roman"/>
          <w:noProof/>
          <w:color w:val="auto"/>
          <w:lang w:val="sr-Latn-CS"/>
        </w:rPr>
        <w:t>Nakon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izvršenja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pojedinačne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prihvatilac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primaocu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dostavi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sljedeće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informacije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1) </w:t>
      </w:r>
      <w:r>
        <w:rPr>
          <w:rFonts w:ascii="Times New Roman" w:hAnsi="Times New Roman" w:cs="Times New Roman"/>
          <w:noProof/>
          <w:color w:val="auto"/>
          <w:lang w:val="sr-Latn-CS"/>
        </w:rPr>
        <w:t>referentnu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oznaku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primaocu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platiocu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omogućava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identifikaciju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pojedinačne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2) </w:t>
      </w:r>
      <w:r>
        <w:rPr>
          <w:rFonts w:ascii="Times New Roman" w:hAnsi="Times New Roman" w:cs="Times New Roman"/>
          <w:noProof/>
          <w:color w:val="auto"/>
          <w:lang w:val="sr-Latn-CS"/>
        </w:rPr>
        <w:t>iznos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pojedinačne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valuti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izvršeno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korist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računa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lastRenderedPageBreak/>
        <w:t xml:space="preserve">3) </w:t>
      </w:r>
      <w:r>
        <w:rPr>
          <w:rFonts w:ascii="Times New Roman" w:hAnsi="Times New Roman" w:cs="Times New Roman"/>
          <w:noProof/>
          <w:color w:val="auto"/>
          <w:lang w:val="sr-Latn-CS"/>
        </w:rPr>
        <w:t>iznos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pojedinačnu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naznačenim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iznosom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trgovačke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međubankarske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(2) </w:t>
      </w:r>
      <w:r>
        <w:rPr>
          <w:rFonts w:ascii="Times New Roman" w:hAnsi="Times New Roman" w:cs="Times New Roman"/>
          <w:noProof/>
          <w:color w:val="auto"/>
          <w:lang w:val="sr-Latn-CS"/>
        </w:rPr>
        <w:t>Informacije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zbirno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prikazane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brendu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platnoj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aplikaciji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vrsti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iznosu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međubankarskih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primjenjuju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ako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prethodno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saglasnost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pisanoj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formi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formi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elektronskog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(3) </w:t>
      </w:r>
      <w:r>
        <w:rPr>
          <w:rFonts w:ascii="Times New Roman" w:hAnsi="Times New Roman" w:cs="Times New Roman"/>
          <w:noProof/>
          <w:color w:val="auto"/>
          <w:lang w:val="sr-Latn-CS"/>
        </w:rPr>
        <w:t>Ugovorom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između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prihvatioca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utvrditi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informacije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dostavljaju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čine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dostupnim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periodično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najmanje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mjesečno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ugovoreni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način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omogućava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primaocu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čuva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reprodukuje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neizmijenjenom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obliku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Zaštita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prava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interesa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korisnika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11.</w:t>
      </w:r>
    </w:p>
    <w:p w:rsidR="005208E9" w:rsidRPr="005208E9" w:rsidRDefault="005208E9" w:rsidP="005208E9">
      <w:pPr>
        <w:pStyle w:val="Default"/>
        <w:rPr>
          <w:rFonts w:ascii="Times New Roman" w:hAnsi="Times New Roman" w:cs="Times New Roman"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(1) </w:t>
      </w:r>
      <w:r>
        <w:rPr>
          <w:rFonts w:ascii="Times New Roman" w:hAnsi="Times New Roman" w:cs="Times New Roman"/>
          <w:noProof/>
          <w:color w:val="auto"/>
          <w:lang w:val="sr-Latn-CS"/>
        </w:rPr>
        <w:t>Ako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izdavalac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prihvatilac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pridržavaju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odredaba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donesenih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korisnik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fizičko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svojih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interesa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uređuje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unutrašnji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promet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uređuje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poslovanje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banaka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uređena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oblast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interesa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korisnika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finansijskih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strike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(2)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postupak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ostvarivanja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interesa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korisnika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primjenjuju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odredbe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uređuje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poslovanje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banaka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uređena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oblast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interesa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korisnika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finansijskih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5208E9" w:rsidRPr="005208E9" w:rsidRDefault="005208E9" w:rsidP="005208E9">
      <w:pPr>
        <w:pStyle w:val="Default"/>
        <w:rPr>
          <w:rFonts w:ascii="Times New Roman" w:hAnsi="Times New Roman" w:cs="Times New Roman"/>
          <w:b/>
          <w:bCs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rPr>
          <w:rFonts w:ascii="Times New Roman" w:hAnsi="Times New Roman" w:cs="Times New Roman"/>
          <w:bCs/>
          <w:noProof/>
          <w:color w:val="auto"/>
          <w:lang w:val="sr-Cyrl-BA"/>
        </w:rPr>
      </w:pP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Nadzor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nad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pružaocima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kartičnih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sistema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procesora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drugih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pružalaca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tehničkih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12.</w:t>
      </w:r>
    </w:p>
    <w:p w:rsidR="005208E9" w:rsidRPr="005208E9" w:rsidRDefault="005208E9" w:rsidP="005208E9">
      <w:pPr>
        <w:pStyle w:val="Default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(1) </w:t>
      </w:r>
      <w:r>
        <w:rPr>
          <w:rFonts w:ascii="Times New Roman" w:hAnsi="Times New Roman" w:cs="Times New Roman"/>
          <w:noProof/>
          <w:color w:val="auto"/>
          <w:lang w:val="sr-Latn-CS"/>
        </w:rPr>
        <w:t>Agencija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vrši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nadzor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primjenom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odredaba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banaka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način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postupku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propisani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uređuje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poslovanje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banaka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uređuje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unutrašnji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promet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uređuju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drugim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donesenim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(2) </w:t>
      </w:r>
      <w:r>
        <w:rPr>
          <w:rFonts w:ascii="Times New Roman" w:hAnsi="Times New Roman" w:cs="Times New Roman"/>
          <w:noProof/>
          <w:color w:val="auto"/>
          <w:lang w:val="sr-Latn-CS"/>
        </w:rPr>
        <w:t>Agencija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vrši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nadzor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primjenom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odredaba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ostalih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pružalaca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javnog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poštanskog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operatera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način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postupku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propisani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uređuje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unutrašnji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promet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(3) </w:t>
      </w:r>
      <w:r>
        <w:rPr>
          <w:rFonts w:ascii="Times New Roman" w:hAnsi="Times New Roman" w:cs="Times New Roman"/>
          <w:noProof/>
          <w:color w:val="auto"/>
          <w:lang w:val="sr-Latn-CS"/>
        </w:rPr>
        <w:t>Ako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postupku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nadzora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2.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utvrdi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subjekat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nadzora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postupio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suprotno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donesenim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Agencija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njemu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preduzima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mjere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subjektu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preduzeti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uređuje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poslovanje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banaka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uređuje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unutrašnji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promet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uključujući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izricanje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novčane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kazne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odredbama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izreći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subjektu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njegovog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organa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upravljanja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odgovornom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subjektu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(4) </w:t>
      </w:r>
      <w:r>
        <w:rPr>
          <w:rFonts w:ascii="Times New Roman" w:hAnsi="Times New Roman" w:cs="Times New Roman"/>
          <w:noProof/>
          <w:color w:val="auto"/>
          <w:lang w:val="sr-Latn-CS"/>
        </w:rPr>
        <w:t>Agencija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shodnom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primjenom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uređuje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unutrašnji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promet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uređuju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uređuje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poslovanje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banaka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vrši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kontrolu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primjenom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odredaba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strane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procesora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pružalaca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tehničkih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podržava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izvršavanje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predmet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odgovorna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poslovanje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subjekata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5208E9" w:rsidRPr="005208E9" w:rsidRDefault="005208E9" w:rsidP="005208E9">
      <w:pPr>
        <w:pStyle w:val="CommentText"/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208E9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pismenim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zahtijevati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kartičnog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procesora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pružalaca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tehničkih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ostavljenom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dostave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potrebne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poštovanja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odredaba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međubankarskoj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naknadi</w:t>
      </w:r>
      <w:r w:rsidRPr="005208E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(6)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postupku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kontrole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4.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Agencija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izreći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sljedeće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mjere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1) </w:t>
      </w:r>
      <w:r>
        <w:rPr>
          <w:rFonts w:ascii="Times New Roman" w:hAnsi="Times New Roman" w:cs="Times New Roman"/>
          <w:noProof/>
          <w:color w:val="auto"/>
          <w:lang w:val="sr-Latn-CS"/>
        </w:rPr>
        <w:t>naložiti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usklađivanje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poslovanja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2) </w:t>
      </w:r>
      <w:r>
        <w:rPr>
          <w:rFonts w:ascii="Times New Roman" w:hAnsi="Times New Roman" w:cs="Times New Roman"/>
          <w:noProof/>
          <w:color w:val="auto"/>
          <w:lang w:val="sr-Latn-CS"/>
        </w:rPr>
        <w:t>privremeno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zabraniti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pružanje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više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trajanju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godinu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,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3) </w:t>
      </w:r>
      <w:r>
        <w:rPr>
          <w:rFonts w:ascii="Times New Roman" w:hAnsi="Times New Roman" w:cs="Times New Roman"/>
          <w:noProof/>
          <w:color w:val="auto"/>
          <w:lang w:val="sr-Latn-CS"/>
        </w:rPr>
        <w:t>podnijeti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zahtjev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organu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pokretanje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prinudne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likvidacije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kontrolisanog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subjekta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(7) </w:t>
      </w:r>
      <w:r>
        <w:rPr>
          <w:rFonts w:ascii="Times New Roman" w:hAnsi="Times New Roman" w:cs="Times New Roman"/>
          <w:noProof/>
          <w:color w:val="auto"/>
          <w:lang w:val="sr-Latn-CS"/>
        </w:rPr>
        <w:t>Subjekat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4.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sjedište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ogranak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upisan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registar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organa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Republici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Srpskoj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dužno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obavijesti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Agenciju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poslovnom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imenu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sjedištu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načinu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njime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obavljati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komunikacija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Agencijom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sarađuje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zahtjev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dostavlja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tražene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podatke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dokumentaciju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vezi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primjenom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odredaba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jc w:val="both"/>
        <w:rPr>
          <w:rFonts w:ascii="Times New Roman" w:hAnsi="Times New Roman" w:cs="Times New Roman"/>
          <w:noProof/>
          <w:color w:val="auto"/>
          <w:lang w:val="sr-Cyrl-BA"/>
        </w:rPr>
      </w:pP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Nadzor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trgovcima</w:t>
      </w: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13.</w:t>
      </w:r>
    </w:p>
    <w:p w:rsidR="005208E9" w:rsidRPr="005208E9" w:rsidRDefault="005208E9" w:rsidP="005208E9">
      <w:pPr>
        <w:pStyle w:val="Default"/>
        <w:ind w:left="360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Nadzor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primjenom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odredaba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inspekcijski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nadzor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trgovce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primaoce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vrše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organi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uređuje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potrošača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organi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inspekcijski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nadzor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uređuje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inspekcija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Republici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Srpskoj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Novčana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kazna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postupku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ostvarivanja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zaštite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prava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interesa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korisnika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usluga</w:t>
      </w: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14.</w:t>
      </w: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(1) </w:t>
      </w:r>
      <w:r>
        <w:rPr>
          <w:rFonts w:ascii="Times New Roman" w:hAnsi="Times New Roman" w:cs="Times New Roman"/>
          <w:noProof/>
          <w:color w:val="auto"/>
          <w:lang w:val="sr-Latn-CS"/>
        </w:rPr>
        <w:t>Novčanom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kaznom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10.000 </w:t>
      </w:r>
      <w:r>
        <w:rPr>
          <w:rFonts w:ascii="Times New Roman" w:hAnsi="Times New Roman" w:cs="Times New Roman"/>
          <w:noProof/>
          <w:color w:val="auto"/>
          <w:lang w:val="sr-Latn-CS"/>
        </w:rPr>
        <w:t>KM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40.000 </w:t>
      </w:r>
      <w:r>
        <w:rPr>
          <w:rFonts w:ascii="Times New Roman" w:hAnsi="Times New Roman" w:cs="Times New Roman"/>
          <w:noProof/>
          <w:color w:val="auto"/>
          <w:lang w:val="sr-Latn-CS"/>
        </w:rPr>
        <w:t>KM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kazniće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pružalac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ako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1) </w:t>
      </w:r>
      <w:r>
        <w:rPr>
          <w:rFonts w:ascii="Times New Roman" w:hAnsi="Times New Roman" w:cs="Times New Roman"/>
          <w:noProof/>
          <w:color w:val="auto"/>
          <w:lang w:val="sr-Latn-CS"/>
        </w:rPr>
        <w:t>naplati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ponudi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međubankarsku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suprotno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5. </w:t>
      </w:r>
      <w:r>
        <w:rPr>
          <w:rFonts w:ascii="Times New Roman" w:hAnsi="Times New Roman" w:cs="Times New Roman"/>
          <w:noProof/>
          <w:color w:val="auto"/>
          <w:lang w:val="sr-Latn-CS"/>
        </w:rPr>
        <w:t>st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2, 3.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4),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2) </w:t>
      </w:r>
      <w:r>
        <w:rPr>
          <w:rFonts w:ascii="Times New Roman" w:hAnsi="Times New Roman" w:cs="Times New Roman"/>
          <w:noProof/>
          <w:color w:val="auto"/>
          <w:lang w:val="sr-Latn-CS"/>
        </w:rPr>
        <w:t>nudi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izdavanja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zasnovanog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više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brendova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odbije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ovaj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potrošaču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nudi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6.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3),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3)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primjerenom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roku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zaključenja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ugovora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izdavanju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zasnovanog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više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brendova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dostavi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potrošaču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jasne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objektivne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informacije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brendovima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izdavanja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povezana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kao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njihovim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karakteristikama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uključujući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njihove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mogućnosti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primjenljivost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troškove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mjere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zaštite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6.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4),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4)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zasnovanom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opremi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primjenjuje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mjestu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prodaje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ustanovi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automatske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mehanizme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softver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uređaje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platiocu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primaocu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ograničio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izbor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brenda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aplikacije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upotrebi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zasnovanog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6.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8),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5) </w:t>
      </w:r>
      <w:r>
        <w:rPr>
          <w:rFonts w:ascii="Times New Roman" w:hAnsi="Times New Roman" w:cs="Times New Roman"/>
          <w:noProof/>
          <w:color w:val="auto"/>
          <w:lang w:val="sr-Latn-CS"/>
        </w:rPr>
        <w:t>trgovačke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primaocu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nudi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obračunava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pojedinačno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različite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vrste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brendove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čiju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upotrebu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različite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međubankarske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različite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7.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1), </w:t>
      </w:r>
      <w:r>
        <w:rPr>
          <w:rFonts w:ascii="Times New Roman" w:hAnsi="Times New Roman" w:cs="Times New Roman"/>
          <w:noProof/>
          <w:color w:val="auto"/>
          <w:lang w:val="sr-Latn-CS"/>
        </w:rPr>
        <w:t>odnosno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suprotno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obračunava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trgovcu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jedinstvenu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više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vrsta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brendova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taj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prihvata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7.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2),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6)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ugovoru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usluzi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zaključuje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primaocem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prikaže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pojedinačno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brendove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vrste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informacije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iznosu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lastRenderedPageBreak/>
        <w:t>(</w:t>
      </w:r>
      <w:r>
        <w:rPr>
          <w:rFonts w:ascii="Times New Roman" w:hAnsi="Times New Roman" w:cs="Times New Roman"/>
          <w:noProof/>
          <w:color w:val="auto"/>
          <w:lang w:val="sr-Latn-CS"/>
        </w:rPr>
        <w:t>trgovačka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međubankarska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) (</w:t>
      </w:r>
      <w:r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7.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3),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7)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prihvata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zasnovan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jednog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izdavaoca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obaveže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prihvata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zasnovane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karticama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pritom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nisu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ispunjeni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uslovi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propisani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8.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1),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8)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obezbijedi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zasnovan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bude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elektronski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vizuelno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prepoznatljiv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način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omogućava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primaocu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platiocu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nedvosmisleno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identifikuju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brend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vrstu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izabrao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platilac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8.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6),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9) </w:t>
      </w:r>
      <w:r>
        <w:rPr>
          <w:rFonts w:ascii="Times New Roman" w:hAnsi="Times New Roman" w:cs="Times New Roman"/>
          <w:noProof/>
          <w:color w:val="auto"/>
          <w:lang w:val="sr-Latn-CS"/>
        </w:rPr>
        <w:t>zabrani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trgovcu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usmjeri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potrošača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upotrebu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bilo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prednost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zasnovanim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karticama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obavijesti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platioca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međubankarskim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naknadama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naknadama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trgovačkim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naknadama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9.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1),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10) </w:t>
      </w:r>
      <w:r>
        <w:rPr>
          <w:rFonts w:ascii="Times New Roman" w:hAnsi="Times New Roman" w:cs="Times New Roman"/>
          <w:noProof/>
          <w:color w:val="auto"/>
          <w:lang w:val="sr-Latn-CS"/>
        </w:rPr>
        <w:t>nakon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izvršenja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pojedinačne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primaocu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ugovorenim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rokovima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ugovoreni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način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dostavi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referentnu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oznaku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primaocu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omogućava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identifikaciju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iznos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valuti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odobren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račun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iznos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odnose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posebno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naznačenim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iznosom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trgovačke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međubankarske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10),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11) </w:t>
      </w:r>
      <w:r>
        <w:rPr>
          <w:rFonts w:ascii="Times New Roman" w:hAnsi="Times New Roman" w:cs="Times New Roman"/>
          <w:noProof/>
          <w:color w:val="auto"/>
          <w:lang w:val="sr-Latn-CS"/>
        </w:rPr>
        <w:t>naplati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ponudi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međubankarsku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suprotno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16).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(2)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prekršaj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kazniće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odgovorno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pružaoca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novčanom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kaznom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2.500 </w:t>
      </w:r>
      <w:r>
        <w:rPr>
          <w:rFonts w:ascii="Times New Roman" w:hAnsi="Times New Roman" w:cs="Times New Roman"/>
          <w:noProof/>
          <w:color w:val="auto"/>
          <w:lang w:val="sr-Latn-CS"/>
        </w:rPr>
        <w:t>KM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10.000 </w:t>
      </w:r>
      <w:r>
        <w:rPr>
          <w:rFonts w:ascii="Times New Roman" w:hAnsi="Times New Roman" w:cs="Times New Roman"/>
          <w:noProof/>
          <w:color w:val="auto"/>
          <w:lang w:val="sr-Latn-CS"/>
        </w:rPr>
        <w:t>KM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5208E9" w:rsidRPr="005208E9" w:rsidRDefault="005208E9" w:rsidP="005208E9">
      <w:pPr>
        <w:pStyle w:val="Default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</w:p>
    <w:p w:rsidR="005208E9" w:rsidRPr="005208E9" w:rsidRDefault="005208E9" w:rsidP="005208E9">
      <w:pPr>
        <w:pStyle w:val="Default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Prekršaji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primaoca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plaćanja</w:t>
      </w: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15.</w:t>
      </w:r>
    </w:p>
    <w:p w:rsidR="005208E9" w:rsidRPr="005208E9" w:rsidRDefault="005208E9" w:rsidP="005208E9">
      <w:pPr>
        <w:pStyle w:val="Default"/>
        <w:rPr>
          <w:rFonts w:ascii="Times New Roman" w:hAnsi="Times New Roman" w:cs="Times New Roman"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(1) </w:t>
      </w:r>
      <w:r>
        <w:rPr>
          <w:rFonts w:ascii="Times New Roman" w:hAnsi="Times New Roman" w:cs="Times New Roman"/>
          <w:noProof/>
          <w:color w:val="auto"/>
          <w:lang w:val="sr-Latn-CS"/>
        </w:rPr>
        <w:t>Novčanom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kaznom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5.000 </w:t>
      </w:r>
      <w:r>
        <w:rPr>
          <w:rFonts w:ascii="Times New Roman" w:hAnsi="Times New Roman" w:cs="Times New Roman"/>
          <w:noProof/>
          <w:color w:val="auto"/>
          <w:lang w:val="sr-Latn-CS"/>
        </w:rPr>
        <w:t>KM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20.000 </w:t>
      </w:r>
      <w:r>
        <w:rPr>
          <w:rFonts w:ascii="Times New Roman" w:hAnsi="Times New Roman" w:cs="Times New Roman"/>
          <w:noProof/>
          <w:color w:val="auto"/>
          <w:lang w:val="sr-Latn-CS"/>
        </w:rPr>
        <w:t>KM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kazniće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ako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1) </w:t>
      </w:r>
      <w:r>
        <w:rPr>
          <w:rFonts w:ascii="Times New Roman" w:hAnsi="Times New Roman" w:cs="Times New Roman"/>
          <w:noProof/>
          <w:color w:val="auto"/>
          <w:lang w:val="sr-Latn-CS"/>
        </w:rPr>
        <w:t>ograniči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platioca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izabere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brend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aplikaciju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prihvata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različiti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brenda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aplikacije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odabrani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primjenom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automatskog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mehanizma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upotrebljava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mjestu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prodaje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6.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9),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2)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obavijesti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potrošača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tome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prihvata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zasnovane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karticama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određenog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jasno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nedvosmisleno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istovremeno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davanjem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obavještenja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zasnovanim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karticama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kartičnog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sistema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prihvata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8.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3),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3) </w:t>
      </w:r>
      <w:r>
        <w:rPr>
          <w:rFonts w:ascii="Times New Roman" w:hAnsi="Times New Roman" w:cs="Times New Roman"/>
          <w:noProof/>
          <w:color w:val="auto"/>
          <w:lang w:val="sr-Latn-CS"/>
        </w:rPr>
        <w:t>informacije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istakne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vidno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ulazu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prodajni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objekat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naplatnom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mjestu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8.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4),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4)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slučaju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trgovine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korišćenjem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sredstava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komunikacije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daljinu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informacije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objavi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svojoj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internet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stranici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odgovarajućem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elektronskom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mobilnom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mediju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informacije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pruži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platiocu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primjerenom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roku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zaključenja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ugovora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8.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5).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(2)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prekršaj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kazniće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odgovorno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pravno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novčanom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kaznom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500 </w:t>
      </w:r>
      <w:r>
        <w:rPr>
          <w:rFonts w:ascii="Times New Roman" w:hAnsi="Times New Roman" w:cs="Times New Roman"/>
          <w:noProof/>
          <w:color w:val="auto"/>
          <w:lang w:val="sr-Latn-CS"/>
        </w:rPr>
        <w:t>KM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2.000 </w:t>
      </w:r>
      <w:r>
        <w:rPr>
          <w:rFonts w:ascii="Times New Roman" w:hAnsi="Times New Roman" w:cs="Times New Roman"/>
          <w:noProof/>
          <w:color w:val="auto"/>
          <w:lang w:val="sr-Latn-CS"/>
        </w:rPr>
        <w:t>KM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(3)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prekršaj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kazniće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preduzetnik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novčanom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kaznom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200 </w:t>
      </w:r>
      <w:r>
        <w:rPr>
          <w:rFonts w:ascii="Times New Roman" w:hAnsi="Times New Roman" w:cs="Times New Roman"/>
          <w:noProof/>
          <w:color w:val="auto"/>
          <w:lang w:val="sr-Latn-CS"/>
        </w:rPr>
        <w:t>KM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800 </w:t>
      </w:r>
      <w:r>
        <w:rPr>
          <w:rFonts w:ascii="Times New Roman" w:hAnsi="Times New Roman" w:cs="Times New Roman"/>
          <w:noProof/>
          <w:color w:val="auto"/>
          <w:lang w:val="sr-Latn-CS"/>
        </w:rPr>
        <w:t>KM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lastRenderedPageBreak/>
        <w:t xml:space="preserve">(4)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prekršaj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kazniće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plaćanja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fizičko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lice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novčanom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kaznom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color w:val="auto"/>
          <w:lang w:val="sr-Latn-CS"/>
        </w:rPr>
        <w:t>KM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400 </w:t>
      </w:r>
      <w:r>
        <w:rPr>
          <w:rFonts w:ascii="Times New Roman" w:hAnsi="Times New Roman" w:cs="Times New Roman"/>
          <w:noProof/>
          <w:color w:val="auto"/>
          <w:lang w:val="sr-Latn-CS"/>
        </w:rPr>
        <w:t>KM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jc w:val="both"/>
        <w:rPr>
          <w:rFonts w:ascii="Times New Roman" w:hAnsi="Times New Roman" w:cs="Times New Roman"/>
          <w:noProof/>
          <w:color w:val="auto"/>
          <w:lang w:val="sr-Cyrl-BA"/>
        </w:rPr>
      </w:pP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Privremeno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odstupanje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propisane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visine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međubankarske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naknade</w:t>
      </w: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16.</w:t>
      </w:r>
    </w:p>
    <w:p w:rsidR="005208E9" w:rsidRPr="005208E9" w:rsidRDefault="005208E9" w:rsidP="005208E9">
      <w:pPr>
        <w:pStyle w:val="Default"/>
        <w:rPr>
          <w:rFonts w:ascii="Times New Roman" w:hAnsi="Times New Roman" w:cs="Times New Roman"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(1) </w:t>
      </w:r>
      <w:r>
        <w:rPr>
          <w:rFonts w:ascii="Times New Roman" w:hAnsi="Times New Roman" w:cs="Times New Roman"/>
          <w:noProof/>
          <w:color w:val="auto"/>
          <w:lang w:val="sr-Latn-CS"/>
        </w:rPr>
        <w:t>Izuzetno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5.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2.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pružalac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roku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mjeseca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stupanja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snagu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nuditi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naplatiti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međubankarsku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debitnom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iznosu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većem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propisanog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iznosa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većem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0,5% </w:t>
      </w:r>
      <w:r>
        <w:rPr>
          <w:rFonts w:ascii="Times New Roman" w:hAnsi="Times New Roman" w:cs="Times New Roman"/>
          <w:noProof/>
          <w:color w:val="auto"/>
          <w:lang w:val="sr-Latn-CS"/>
        </w:rPr>
        <w:t>vrijednosti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izvršene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debitnom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(2) </w:t>
      </w:r>
      <w:r>
        <w:rPr>
          <w:rFonts w:ascii="Times New Roman" w:hAnsi="Times New Roman" w:cs="Times New Roman"/>
          <w:noProof/>
          <w:color w:val="auto"/>
          <w:lang w:val="sr-Latn-CS"/>
        </w:rPr>
        <w:t>Izuzetno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5.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pružalac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roku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mjeseca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stupanja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snagu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nuditi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naplatiti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međubankarsku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naknadu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kreditnom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iznosu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većem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propisanog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iznosa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većem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0,6% </w:t>
      </w:r>
      <w:r>
        <w:rPr>
          <w:rFonts w:ascii="Times New Roman" w:hAnsi="Times New Roman" w:cs="Times New Roman"/>
          <w:noProof/>
          <w:color w:val="auto"/>
          <w:lang w:val="sr-Latn-CS"/>
        </w:rPr>
        <w:t>vrijednosti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izvršene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transakcije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kreditnom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Važenje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instrumenata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zasnovanih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platnoj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kartici</w:t>
      </w: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17.</w:t>
      </w:r>
    </w:p>
    <w:p w:rsidR="005208E9" w:rsidRPr="005208E9" w:rsidRDefault="005208E9" w:rsidP="005208E9">
      <w:pPr>
        <w:pStyle w:val="Default"/>
        <w:rPr>
          <w:rFonts w:ascii="Times New Roman" w:hAnsi="Times New Roman" w:cs="Times New Roman"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Platni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zasnovani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platnoj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kartici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isteka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roka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usklađivanje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pružaoca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mogu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koristiti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isteka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roka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važenja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označen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tim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instrumentima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bez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obzira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izdavalac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postupio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skladu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članom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8.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6.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Donošenje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podzakonskih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propisa</w:t>
      </w: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18.</w:t>
      </w:r>
    </w:p>
    <w:p w:rsidR="005208E9" w:rsidRPr="005208E9" w:rsidRDefault="005208E9" w:rsidP="005208E9">
      <w:pPr>
        <w:pStyle w:val="Default"/>
        <w:rPr>
          <w:rFonts w:ascii="Times New Roman" w:hAnsi="Times New Roman" w:cs="Times New Roman"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Agencija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će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donijeti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podzakonski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propis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5.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9.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roku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mjesec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stupanja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snagu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5208E9" w:rsidRPr="005208E9" w:rsidRDefault="005208E9" w:rsidP="005208E9">
      <w:pPr>
        <w:pStyle w:val="Default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Usklađivanje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odredbama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zakona</w:t>
      </w: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19.</w:t>
      </w: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strike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Pružaoci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platnih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usluga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dužni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svoje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poslovanje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interne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akte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usklade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odredbama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roku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tri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mjeseca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stupanja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snagu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Pr="005208E9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Stupanje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snagu</w:t>
      </w: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Član</w:t>
      </w:r>
      <w:r w:rsidRPr="005208E9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20.</w:t>
      </w:r>
    </w:p>
    <w:p w:rsidR="005208E9" w:rsidRPr="005208E9" w:rsidRDefault="005208E9" w:rsidP="005208E9">
      <w:pPr>
        <w:pStyle w:val="Default"/>
        <w:jc w:val="center"/>
        <w:rPr>
          <w:rFonts w:ascii="Times New Roman" w:hAnsi="Times New Roman" w:cs="Times New Roman"/>
          <w:bCs/>
          <w:noProof/>
          <w:color w:val="auto"/>
          <w:lang w:val="sr-Latn-CS"/>
        </w:rPr>
      </w:pPr>
    </w:p>
    <w:p w:rsidR="005208E9" w:rsidRPr="005208E9" w:rsidRDefault="005208E9" w:rsidP="005208E9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  <w:r w:rsidRPr="005208E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Ovaj</w:t>
      </w:r>
      <w:r w:rsidRPr="005208E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zakon</w:t>
      </w:r>
      <w:r w:rsidRPr="005208E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se</w:t>
      </w:r>
      <w:r w:rsidRPr="005208E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objavljuje</w:t>
      </w:r>
      <w:r w:rsidRPr="005208E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u</w:t>
      </w:r>
      <w:r w:rsidRPr="005208E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„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Službenom</w:t>
      </w:r>
      <w:r w:rsidRPr="005208E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glasniku</w:t>
      </w:r>
      <w:r w:rsidRPr="005208E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Republike</w:t>
      </w:r>
      <w:r w:rsidRPr="005208E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Srpske</w:t>
      </w:r>
      <w:r w:rsidRPr="005208E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“,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a</w:t>
      </w:r>
      <w:r w:rsidRPr="005208E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stupa</w:t>
      </w:r>
      <w:r w:rsidRPr="005208E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na</w:t>
      </w:r>
      <w:r w:rsidRPr="005208E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snagu</w:t>
      </w:r>
      <w:r w:rsidRPr="005208E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tri</w:t>
      </w:r>
      <w:r w:rsidRPr="005208E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mjeseca</w:t>
      </w:r>
      <w:r w:rsidRPr="005208E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od</w:t>
      </w:r>
      <w:r w:rsidRPr="005208E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dana</w:t>
      </w:r>
      <w:r w:rsidRPr="005208E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objavljivanja</w:t>
      </w:r>
      <w:r w:rsidRPr="005208E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. </w:t>
      </w:r>
    </w:p>
    <w:p w:rsidR="005208E9" w:rsidRPr="005208E9" w:rsidRDefault="005208E9" w:rsidP="005208E9">
      <w:pPr>
        <w:tabs>
          <w:tab w:val="center" w:pos="792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</w:p>
    <w:p w:rsidR="005208E9" w:rsidRPr="005208E9" w:rsidRDefault="005208E9" w:rsidP="005208E9">
      <w:pPr>
        <w:tabs>
          <w:tab w:val="center" w:pos="792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</w:p>
    <w:p w:rsidR="005208E9" w:rsidRPr="005208E9" w:rsidRDefault="005208E9" w:rsidP="005208E9">
      <w:pPr>
        <w:tabs>
          <w:tab w:val="center" w:pos="792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</w:p>
    <w:p w:rsidR="005208E9" w:rsidRPr="005208E9" w:rsidRDefault="005208E9" w:rsidP="005208E9">
      <w:pPr>
        <w:tabs>
          <w:tab w:val="left" w:pos="657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Broj</w:t>
      </w:r>
      <w:r w:rsidR="008E6928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: 02/1-021-409</w:t>
      </w:r>
      <w:r w:rsidRPr="005208E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/22                                                                     </w:t>
      </w:r>
      <w:r w:rsidR="008E6928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 </w:t>
      </w:r>
      <w:bookmarkStart w:id="0" w:name="_GoBack"/>
      <w:bookmarkEnd w:id="0"/>
      <w:r w:rsidRPr="005208E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POTPREDSJEDNIK</w:t>
      </w:r>
    </w:p>
    <w:p w:rsidR="005208E9" w:rsidRPr="005208E9" w:rsidRDefault="005208E9" w:rsidP="005208E9">
      <w:pPr>
        <w:tabs>
          <w:tab w:val="left" w:pos="612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Datum</w:t>
      </w:r>
      <w:r w:rsidRPr="005208E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: 14.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aprila</w:t>
      </w:r>
      <w:r w:rsidRPr="005208E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2022.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godine</w:t>
      </w:r>
      <w:r w:rsidRPr="005208E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ab/>
        <w:t xml:space="preserve"> 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NARODNE</w:t>
      </w:r>
      <w:r w:rsidRPr="005208E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SKUPŠTINE</w:t>
      </w:r>
      <w:r w:rsidRPr="005208E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</w:p>
    <w:p w:rsidR="005208E9" w:rsidRPr="005208E9" w:rsidRDefault="005208E9" w:rsidP="005208E9">
      <w:pPr>
        <w:tabs>
          <w:tab w:val="left" w:pos="630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  <w:r w:rsidRPr="005208E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                                                                                                           </w:t>
      </w:r>
    </w:p>
    <w:p w:rsidR="005208E9" w:rsidRPr="005208E9" w:rsidRDefault="005208E9" w:rsidP="005208E9">
      <w:pPr>
        <w:tabs>
          <w:tab w:val="left" w:pos="6300"/>
        </w:tabs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</w:pPr>
      <w:r w:rsidRPr="005208E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Denis</w:t>
      </w:r>
      <w:r w:rsidRPr="005208E9"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 w:eastAsia="bs-Latn-BA"/>
        </w:rPr>
        <w:t>Šulić</w:t>
      </w:r>
    </w:p>
    <w:p w:rsidR="00552D70" w:rsidRPr="005208E9" w:rsidRDefault="00552D70">
      <w:pPr>
        <w:rPr>
          <w:noProof/>
          <w:lang w:val="sr-Cyrl-BA"/>
        </w:rPr>
      </w:pPr>
    </w:p>
    <w:sectPr w:rsidR="00552D70" w:rsidRPr="005208E9" w:rsidSect="00D3054E">
      <w:footerReference w:type="default" r:id="rId8"/>
      <w:pgSz w:w="11906" w:h="16838" w:code="9"/>
      <w:pgMar w:top="1872" w:right="1440" w:bottom="115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F48" w:rsidRDefault="00581F48">
      <w:pPr>
        <w:spacing w:after="0" w:line="240" w:lineRule="auto"/>
      </w:pPr>
      <w:r>
        <w:separator/>
      </w:r>
    </w:p>
  </w:endnote>
  <w:endnote w:type="continuationSeparator" w:id="0">
    <w:p w:rsidR="00581F48" w:rsidRDefault="00581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48E" w:rsidRDefault="00581F48">
    <w:pPr>
      <w:pStyle w:val="Footer"/>
      <w:jc w:val="right"/>
    </w:pPr>
  </w:p>
  <w:p w:rsidR="0043648E" w:rsidRDefault="00581F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F48" w:rsidRDefault="00581F48">
      <w:pPr>
        <w:spacing w:after="0" w:line="240" w:lineRule="auto"/>
      </w:pPr>
      <w:r>
        <w:separator/>
      </w:r>
    </w:p>
  </w:footnote>
  <w:footnote w:type="continuationSeparator" w:id="0">
    <w:p w:rsidR="00581F48" w:rsidRDefault="00581F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C4587"/>
    <w:multiLevelType w:val="hybridMultilevel"/>
    <w:tmpl w:val="0CFEED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C40B5"/>
    <w:multiLevelType w:val="hybridMultilevel"/>
    <w:tmpl w:val="77F44E66"/>
    <w:lvl w:ilvl="0" w:tplc="4D12197C">
      <w:numFmt w:val="bullet"/>
      <w:lvlText w:val="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2D465B4"/>
    <w:multiLevelType w:val="hybridMultilevel"/>
    <w:tmpl w:val="0E3C6B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9D0F01"/>
    <w:multiLevelType w:val="hybridMultilevel"/>
    <w:tmpl w:val="BBD67884"/>
    <w:lvl w:ilvl="0" w:tplc="AB78A0C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B584378"/>
    <w:multiLevelType w:val="hybridMultilevel"/>
    <w:tmpl w:val="A210C7C2"/>
    <w:lvl w:ilvl="0" w:tplc="DADCC21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A314D9B"/>
    <w:multiLevelType w:val="hybridMultilevel"/>
    <w:tmpl w:val="B49E8686"/>
    <w:lvl w:ilvl="0" w:tplc="542A58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F56792"/>
    <w:multiLevelType w:val="hybridMultilevel"/>
    <w:tmpl w:val="552840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F4E3591"/>
    <w:multiLevelType w:val="hybridMultilevel"/>
    <w:tmpl w:val="5D8EAED0"/>
    <w:lvl w:ilvl="0" w:tplc="DADCC21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859"/>
    <w:rsid w:val="00510859"/>
    <w:rsid w:val="005208E9"/>
    <w:rsid w:val="00552D70"/>
    <w:rsid w:val="00581F48"/>
    <w:rsid w:val="008E60ED"/>
    <w:rsid w:val="008E6928"/>
    <w:rsid w:val="00962744"/>
    <w:rsid w:val="009F564A"/>
    <w:rsid w:val="00A34DA6"/>
    <w:rsid w:val="00A36B20"/>
    <w:rsid w:val="00A6432B"/>
    <w:rsid w:val="00AB766B"/>
    <w:rsid w:val="00BF60DD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8E9"/>
    <w:pPr>
      <w:spacing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08E9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Cs/>
      <w:sz w:val="2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08E9"/>
    <w:pPr>
      <w:keepNext/>
      <w:keepLines/>
      <w:spacing w:before="200" w:after="0"/>
      <w:jc w:val="center"/>
      <w:outlineLvl w:val="1"/>
    </w:pPr>
    <w:rPr>
      <w:rFonts w:asciiTheme="minorHAnsi" w:eastAsiaTheme="majorEastAsia" w:hAnsiTheme="minorHAnsi" w:cstheme="majorBidi"/>
      <w:bC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08E9"/>
    <w:rPr>
      <w:rFonts w:asciiTheme="majorHAnsi" w:eastAsiaTheme="majorEastAsia" w:hAnsiTheme="majorHAnsi" w:cstheme="majorBidi"/>
      <w:bCs/>
      <w:sz w:val="2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5208E9"/>
    <w:rPr>
      <w:rFonts w:asciiTheme="minorHAnsi" w:eastAsiaTheme="majorEastAsia" w:hAnsiTheme="minorHAnsi" w:cstheme="majorBidi"/>
      <w:bCs/>
      <w:color w:val="000000" w:themeColor="text1"/>
      <w:sz w:val="22"/>
      <w:szCs w:val="2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208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08E9"/>
    <w:rPr>
      <w:rFonts w:ascii="Calibri" w:eastAsia="Calibri" w:hAnsi="Calibri" w:cs="Times New Roman"/>
      <w:sz w:val="22"/>
      <w:szCs w:val="22"/>
      <w:lang w:val="en-GB"/>
    </w:rPr>
  </w:style>
  <w:style w:type="paragraph" w:customStyle="1" w:styleId="Default">
    <w:name w:val="Default"/>
    <w:rsid w:val="005208E9"/>
    <w:pPr>
      <w:autoSpaceDE w:val="0"/>
      <w:autoSpaceDN w:val="0"/>
      <w:adjustRightInd w:val="0"/>
      <w:spacing w:after="0"/>
    </w:pPr>
    <w:rPr>
      <w:rFonts w:ascii="Arial" w:hAnsi="Arial" w:cs="Arial"/>
      <w:color w:val="000000"/>
      <w:lang w:val="en-GB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5208E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208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208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208E9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08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08E9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8E9"/>
    <w:rPr>
      <w:rFonts w:ascii="Tahoma" w:eastAsia="Calibri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20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08E9"/>
    <w:rPr>
      <w:rFonts w:ascii="Calibri" w:eastAsia="Calibri" w:hAnsi="Calibri" w:cs="Times New Roman"/>
      <w:sz w:val="22"/>
      <w:szCs w:val="22"/>
      <w:lang w:val="en-GB"/>
    </w:rPr>
  </w:style>
  <w:style w:type="character" w:styleId="Hyperlink">
    <w:name w:val="Hyperlink"/>
    <w:basedOn w:val="DefaultParagraphFont"/>
    <w:uiPriority w:val="99"/>
    <w:unhideWhenUsed/>
    <w:rsid w:val="005208E9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5208E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208E9"/>
    <w:rPr>
      <w:rFonts w:ascii="Calibri" w:eastAsia="Calibri" w:hAnsi="Calibri" w:cs="Times New Roman"/>
      <w:sz w:val="20"/>
      <w:szCs w:val="20"/>
      <w:lang w:val="en-GB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ußnotenzeichen3,Footnote symbol,Footnote reference number,C,Footnote Reference Num"/>
    <w:basedOn w:val="DefaultParagraphFont"/>
    <w:uiPriority w:val="99"/>
    <w:unhideWhenUsed/>
    <w:rsid w:val="005208E9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5208E9"/>
    <w:pPr>
      <w:jc w:val="left"/>
      <w:outlineLvl w:val="9"/>
    </w:pPr>
    <w:rPr>
      <w:b/>
      <w:color w:val="365F91" w:themeColor="accent1" w:themeShade="BF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5208E9"/>
    <w:pPr>
      <w:tabs>
        <w:tab w:val="right" w:leader="dot" w:pos="9617"/>
      </w:tabs>
      <w:spacing w:after="100"/>
    </w:pPr>
    <w:rPr>
      <w:rFonts w:asciiTheme="minorHAnsi" w:eastAsiaTheme="minorHAnsi" w:hAnsiTheme="minorHAnsi" w:cstheme="minorBidi"/>
      <w:b/>
      <w:noProof/>
      <w:lang w:val="sr-Cyrl-RS"/>
    </w:rPr>
  </w:style>
  <w:style w:type="paragraph" w:styleId="TOC2">
    <w:name w:val="toc 2"/>
    <w:basedOn w:val="Normal"/>
    <w:next w:val="Normal"/>
    <w:autoRedefine/>
    <w:uiPriority w:val="39"/>
    <w:unhideWhenUsed/>
    <w:rsid w:val="005208E9"/>
    <w:pPr>
      <w:tabs>
        <w:tab w:val="right" w:leader="dot" w:pos="9617"/>
      </w:tabs>
      <w:spacing w:after="100"/>
      <w:ind w:left="220"/>
    </w:pPr>
    <w:rPr>
      <w:rFonts w:asciiTheme="minorHAnsi" w:eastAsiaTheme="minorHAnsi" w:hAnsiTheme="minorHAnsi" w:cstheme="minorBidi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5208E9"/>
    <w:pPr>
      <w:spacing w:after="100"/>
      <w:ind w:left="440"/>
    </w:pPr>
    <w:rPr>
      <w:rFonts w:asciiTheme="minorHAnsi" w:eastAsiaTheme="minorEastAsia" w:hAnsiTheme="minorHAnsi" w:cstheme="minorBidi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5208E9"/>
    <w:pPr>
      <w:spacing w:after="100"/>
      <w:ind w:left="660"/>
    </w:pPr>
    <w:rPr>
      <w:rFonts w:asciiTheme="minorHAnsi" w:eastAsiaTheme="minorEastAsia" w:hAnsiTheme="minorHAnsi" w:cstheme="minorBidi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5208E9"/>
    <w:pPr>
      <w:spacing w:after="100"/>
      <w:ind w:left="880"/>
    </w:pPr>
    <w:rPr>
      <w:rFonts w:asciiTheme="minorHAnsi" w:eastAsiaTheme="minorEastAsia" w:hAnsiTheme="minorHAnsi" w:cstheme="minorBidi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5208E9"/>
    <w:pPr>
      <w:spacing w:after="100"/>
      <w:ind w:left="1100"/>
    </w:pPr>
    <w:rPr>
      <w:rFonts w:asciiTheme="minorHAnsi" w:eastAsiaTheme="minorEastAsia" w:hAnsiTheme="minorHAnsi" w:cstheme="minorBidi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5208E9"/>
    <w:pPr>
      <w:spacing w:after="100"/>
      <w:ind w:left="1320"/>
    </w:pPr>
    <w:rPr>
      <w:rFonts w:asciiTheme="minorHAnsi" w:eastAsiaTheme="minorEastAsia" w:hAnsiTheme="minorHAnsi" w:cstheme="minorBidi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5208E9"/>
    <w:pPr>
      <w:spacing w:after="100"/>
      <w:ind w:left="1540"/>
    </w:pPr>
    <w:rPr>
      <w:rFonts w:asciiTheme="minorHAnsi" w:eastAsiaTheme="minorEastAsia" w:hAnsiTheme="minorHAnsi" w:cstheme="minorBidi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5208E9"/>
    <w:pPr>
      <w:spacing w:after="100"/>
      <w:ind w:left="1760"/>
    </w:pPr>
    <w:rPr>
      <w:rFonts w:asciiTheme="minorHAnsi" w:eastAsiaTheme="minorEastAsia" w:hAnsiTheme="minorHAnsi" w:cstheme="minorBidi"/>
      <w:lang w:eastAsia="en-GB"/>
    </w:rPr>
  </w:style>
  <w:style w:type="numbering" w:customStyle="1" w:styleId="NoList1">
    <w:name w:val="No List1"/>
    <w:next w:val="NoList"/>
    <w:uiPriority w:val="99"/>
    <w:semiHidden/>
    <w:unhideWhenUsed/>
    <w:rsid w:val="005208E9"/>
  </w:style>
  <w:style w:type="character" w:styleId="FollowedHyperlink">
    <w:name w:val="FollowedHyperlink"/>
    <w:basedOn w:val="DefaultParagraphFont"/>
    <w:uiPriority w:val="99"/>
    <w:semiHidden/>
    <w:unhideWhenUsed/>
    <w:rsid w:val="005208E9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5208E9"/>
    <w:pPr>
      <w:spacing w:after="0"/>
    </w:pPr>
    <w:rPr>
      <w:rFonts w:ascii="Calibri" w:eastAsia="Calibri" w:hAnsi="Calibri" w:cs="Times New Roman"/>
      <w:sz w:val="22"/>
      <w:szCs w:val="22"/>
    </w:rPr>
  </w:style>
  <w:style w:type="paragraph" w:styleId="Revision">
    <w:name w:val="Revision"/>
    <w:hidden/>
    <w:uiPriority w:val="99"/>
    <w:semiHidden/>
    <w:rsid w:val="005208E9"/>
    <w:pPr>
      <w:spacing w:after="0"/>
    </w:pPr>
    <w:rPr>
      <w:rFonts w:asciiTheme="minorHAnsi" w:hAnsiTheme="minorHAnsi"/>
      <w:sz w:val="22"/>
      <w:szCs w:val="22"/>
      <w:lang w:val="en-GB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5208E9"/>
    <w:rPr>
      <w:rFonts w:ascii="Calibri" w:eastAsia="Calibri" w:hAnsi="Calibri" w:cs="Times New Roman"/>
      <w:sz w:val="22"/>
      <w:szCs w:val="22"/>
      <w:lang w:val="en-GB"/>
    </w:rPr>
  </w:style>
  <w:style w:type="character" w:customStyle="1" w:styleId="tekst1">
    <w:name w:val="tekst1"/>
    <w:rsid w:val="005208E9"/>
    <w:rPr>
      <w:rFonts w:ascii="Arial" w:hAnsi="Arial" w:cs="Arial" w:hint="default"/>
      <w:color w:val="000000"/>
      <w:sz w:val="18"/>
      <w:szCs w:val="18"/>
    </w:rPr>
  </w:style>
  <w:style w:type="table" w:styleId="TableGrid">
    <w:name w:val="Table Grid"/>
    <w:basedOn w:val="TableNormal"/>
    <w:uiPriority w:val="59"/>
    <w:rsid w:val="005208E9"/>
    <w:pPr>
      <w:spacing w:after="0"/>
    </w:pPr>
    <w:rPr>
      <w:rFonts w:asciiTheme="minorHAnsi" w:hAnsiTheme="minorHAnsi"/>
      <w:sz w:val="22"/>
      <w:szCs w:val="22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8E9"/>
    <w:pPr>
      <w:spacing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08E9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Cs/>
      <w:sz w:val="2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08E9"/>
    <w:pPr>
      <w:keepNext/>
      <w:keepLines/>
      <w:spacing w:before="200" w:after="0"/>
      <w:jc w:val="center"/>
      <w:outlineLvl w:val="1"/>
    </w:pPr>
    <w:rPr>
      <w:rFonts w:asciiTheme="minorHAnsi" w:eastAsiaTheme="majorEastAsia" w:hAnsiTheme="minorHAnsi" w:cstheme="majorBidi"/>
      <w:bC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08E9"/>
    <w:rPr>
      <w:rFonts w:asciiTheme="majorHAnsi" w:eastAsiaTheme="majorEastAsia" w:hAnsiTheme="majorHAnsi" w:cstheme="majorBidi"/>
      <w:bCs/>
      <w:sz w:val="2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5208E9"/>
    <w:rPr>
      <w:rFonts w:asciiTheme="minorHAnsi" w:eastAsiaTheme="majorEastAsia" w:hAnsiTheme="minorHAnsi" w:cstheme="majorBidi"/>
      <w:bCs/>
      <w:color w:val="000000" w:themeColor="text1"/>
      <w:sz w:val="22"/>
      <w:szCs w:val="2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208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08E9"/>
    <w:rPr>
      <w:rFonts w:ascii="Calibri" w:eastAsia="Calibri" w:hAnsi="Calibri" w:cs="Times New Roman"/>
      <w:sz w:val="22"/>
      <w:szCs w:val="22"/>
      <w:lang w:val="en-GB"/>
    </w:rPr>
  </w:style>
  <w:style w:type="paragraph" w:customStyle="1" w:styleId="Default">
    <w:name w:val="Default"/>
    <w:rsid w:val="005208E9"/>
    <w:pPr>
      <w:autoSpaceDE w:val="0"/>
      <w:autoSpaceDN w:val="0"/>
      <w:adjustRightInd w:val="0"/>
      <w:spacing w:after="0"/>
    </w:pPr>
    <w:rPr>
      <w:rFonts w:ascii="Arial" w:hAnsi="Arial" w:cs="Arial"/>
      <w:color w:val="000000"/>
      <w:lang w:val="en-GB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5208E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208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208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208E9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08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08E9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8E9"/>
    <w:rPr>
      <w:rFonts w:ascii="Tahoma" w:eastAsia="Calibri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20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08E9"/>
    <w:rPr>
      <w:rFonts w:ascii="Calibri" w:eastAsia="Calibri" w:hAnsi="Calibri" w:cs="Times New Roman"/>
      <w:sz w:val="22"/>
      <w:szCs w:val="22"/>
      <w:lang w:val="en-GB"/>
    </w:rPr>
  </w:style>
  <w:style w:type="character" w:styleId="Hyperlink">
    <w:name w:val="Hyperlink"/>
    <w:basedOn w:val="DefaultParagraphFont"/>
    <w:uiPriority w:val="99"/>
    <w:unhideWhenUsed/>
    <w:rsid w:val="005208E9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5208E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208E9"/>
    <w:rPr>
      <w:rFonts w:ascii="Calibri" w:eastAsia="Calibri" w:hAnsi="Calibri" w:cs="Times New Roman"/>
      <w:sz w:val="20"/>
      <w:szCs w:val="20"/>
      <w:lang w:val="en-GB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ußnotenzeichen3,Footnote symbol,Footnote reference number,C,Footnote Reference Num"/>
    <w:basedOn w:val="DefaultParagraphFont"/>
    <w:uiPriority w:val="99"/>
    <w:unhideWhenUsed/>
    <w:rsid w:val="005208E9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5208E9"/>
    <w:pPr>
      <w:jc w:val="left"/>
      <w:outlineLvl w:val="9"/>
    </w:pPr>
    <w:rPr>
      <w:b/>
      <w:color w:val="365F91" w:themeColor="accent1" w:themeShade="BF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5208E9"/>
    <w:pPr>
      <w:tabs>
        <w:tab w:val="right" w:leader="dot" w:pos="9617"/>
      </w:tabs>
      <w:spacing w:after="100"/>
    </w:pPr>
    <w:rPr>
      <w:rFonts w:asciiTheme="minorHAnsi" w:eastAsiaTheme="minorHAnsi" w:hAnsiTheme="minorHAnsi" w:cstheme="minorBidi"/>
      <w:b/>
      <w:noProof/>
      <w:lang w:val="sr-Cyrl-RS"/>
    </w:rPr>
  </w:style>
  <w:style w:type="paragraph" w:styleId="TOC2">
    <w:name w:val="toc 2"/>
    <w:basedOn w:val="Normal"/>
    <w:next w:val="Normal"/>
    <w:autoRedefine/>
    <w:uiPriority w:val="39"/>
    <w:unhideWhenUsed/>
    <w:rsid w:val="005208E9"/>
    <w:pPr>
      <w:tabs>
        <w:tab w:val="right" w:leader="dot" w:pos="9617"/>
      </w:tabs>
      <w:spacing w:after="100"/>
      <w:ind w:left="220"/>
    </w:pPr>
    <w:rPr>
      <w:rFonts w:asciiTheme="minorHAnsi" w:eastAsiaTheme="minorHAnsi" w:hAnsiTheme="minorHAnsi" w:cstheme="minorBidi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5208E9"/>
    <w:pPr>
      <w:spacing w:after="100"/>
      <w:ind w:left="440"/>
    </w:pPr>
    <w:rPr>
      <w:rFonts w:asciiTheme="minorHAnsi" w:eastAsiaTheme="minorEastAsia" w:hAnsiTheme="minorHAnsi" w:cstheme="minorBidi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5208E9"/>
    <w:pPr>
      <w:spacing w:after="100"/>
      <w:ind w:left="660"/>
    </w:pPr>
    <w:rPr>
      <w:rFonts w:asciiTheme="minorHAnsi" w:eastAsiaTheme="minorEastAsia" w:hAnsiTheme="minorHAnsi" w:cstheme="minorBidi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5208E9"/>
    <w:pPr>
      <w:spacing w:after="100"/>
      <w:ind w:left="880"/>
    </w:pPr>
    <w:rPr>
      <w:rFonts w:asciiTheme="minorHAnsi" w:eastAsiaTheme="minorEastAsia" w:hAnsiTheme="minorHAnsi" w:cstheme="minorBidi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5208E9"/>
    <w:pPr>
      <w:spacing w:after="100"/>
      <w:ind w:left="1100"/>
    </w:pPr>
    <w:rPr>
      <w:rFonts w:asciiTheme="minorHAnsi" w:eastAsiaTheme="minorEastAsia" w:hAnsiTheme="minorHAnsi" w:cstheme="minorBidi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5208E9"/>
    <w:pPr>
      <w:spacing w:after="100"/>
      <w:ind w:left="1320"/>
    </w:pPr>
    <w:rPr>
      <w:rFonts w:asciiTheme="minorHAnsi" w:eastAsiaTheme="minorEastAsia" w:hAnsiTheme="minorHAnsi" w:cstheme="minorBidi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5208E9"/>
    <w:pPr>
      <w:spacing w:after="100"/>
      <w:ind w:left="1540"/>
    </w:pPr>
    <w:rPr>
      <w:rFonts w:asciiTheme="minorHAnsi" w:eastAsiaTheme="minorEastAsia" w:hAnsiTheme="minorHAnsi" w:cstheme="minorBidi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5208E9"/>
    <w:pPr>
      <w:spacing w:after="100"/>
      <w:ind w:left="1760"/>
    </w:pPr>
    <w:rPr>
      <w:rFonts w:asciiTheme="minorHAnsi" w:eastAsiaTheme="minorEastAsia" w:hAnsiTheme="minorHAnsi" w:cstheme="minorBidi"/>
      <w:lang w:eastAsia="en-GB"/>
    </w:rPr>
  </w:style>
  <w:style w:type="numbering" w:customStyle="1" w:styleId="NoList1">
    <w:name w:val="No List1"/>
    <w:next w:val="NoList"/>
    <w:uiPriority w:val="99"/>
    <w:semiHidden/>
    <w:unhideWhenUsed/>
    <w:rsid w:val="005208E9"/>
  </w:style>
  <w:style w:type="character" w:styleId="FollowedHyperlink">
    <w:name w:val="FollowedHyperlink"/>
    <w:basedOn w:val="DefaultParagraphFont"/>
    <w:uiPriority w:val="99"/>
    <w:semiHidden/>
    <w:unhideWhenUsed/>
    <w:rsid w:val="005208E9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5208E9"/>
    <w:pPr>
      <w:spacing w:after="0"/>
    </w:pPr>
    <w:rPr>
      <w:rFonts w:ascii="Calibri" w:eastAsia="Calibri" w:hAnsi="Calibri" w:cs="Times New Roman"/>
      <w:sz w:val="22"/>
      <w:szCs w:val="22"/>
    </w:rPr>
  </w:style>
  <w:style w:type="paragraph" w:styleId="Revision">
    <w:name w:val="Revision"/>
    <w:hidden/>
    <w:uiPriority w:val="99"/>
    <w:semiHidden/>
    <w:rsid w:val="005208E9"/>
    <w:pPr>
      <w:spacing w:after="0"/>
    </w:pPr>
    <w:rPr>
      <w:rFonts w:asciiTheme="minorHAnsi" w:hAnsiTheme="minorHAnsi"/>
      <w:sz w:val="22"/>
      <w:szCs w:val="22"/>
      <w:lang w:val="en-GB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5208E9"/>
    <w:rPr>
      <w:rFonts w:ascii="Calibri" w:eastAsia="Calibri" w:hAnsi="Calibri" w:cs="Times New Roman"/>
      <w:sz w:val="22"/>
      <w:szCs w:val="22"/>
      <w:lang w:val="en-GB"/>
    </w:rPr>
  </w:style>
  <w:style w:type="character" w:customStyle="1" w:styleId="tekst1">
    <w:name w:val="tekst1"/>
    <w:rsid w:val="005208E9"/>
    <w:rPr>
      <w:rFonts w:ascii="Arial" w:hAnsi="Arial" w:cs="Arial" w:hint="default"/>
      <w:color w:val="000000"/>
      <w:sz w:val="18"/>
      <w:szCs w:val="18"/>
    </w:rPr>
  </w:style>
  <w:style w:type="table" w:styleId="TableGrid">
    <w:name w:val="Table Grid"/>
    <w:basedOn w:val="TableNormal"/>
    <w:uiPriority w:val="59"/>
    <w:rsid w:val="005208E9"/>
    <w:pPr>
      <w:spacing w:after="0"/>
    </w:pPr>
    <w:rPr>
      <w:rFonts w:asciiTheme="minorHAnsi" w:hAnsiTheme="minorHAnsi"/>
      <w:sz w:val="22"/>
      <w:szCs w:val="22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4542</Words>
  <Characters>25896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2022-04-12T09:17:00Z</dcterms:created>
  <dcterms:modified xsi:type="dcterms:W3CDTF">2022-04-18T10:09:00Z</dcterms:modified>
</cp:coreProperties>
</file>